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right"/>
        <w:rPr>
          <w:rFonts w:ascii="Times New Roman" w:hAnsi="Times New Roman" w:cs="Times New Roman"/>
          <w:b w:val="false"/>
          <w:b w:val="false"/>
          <w:bCs/>
          <w:color w:val="auto"/>
          <w:sz w:val="28"/>
          <w:szCs w:val="28"/>
        </w:rPr>
      </w:pPr>
      <w:r>
        <w:rPr>
          <w:rStyle w:val="Style14"/>
          <w:rFonts w:cs="Times New Roman" w:ascii="Times New Roman" w:hAnsi="Times New Roman"/>
          <w:b w:val="false"/>
          <w:bCs/>
          <w:sz w:val="28"/>
          <w:szCs w:val="28"/>
        </w:rPr>
        <w:t>Приложение 1</w:t>
        <w:br/>
        <w:t xml:space="preserve">к </w:t>
      </w:r>
      <w:hyperlink w:anchor="sub_1000">
        <w:r>
          <w:rPr>
            <w:color w:val="auto"/>
            <w:sz w:val="28"/>
            <w:szCs w:val="28"/>
          </w:rPr>
          <w:t>государственной программе</w:t>
        </w:r>
      </w:hyperlink>
      <w:r>
        <w:rPr>
          <w:rStyle w:val="Style14"/>
          <w:rFonts w:cs="Times New Roman" w:ascii="Times New Roman" w:hAnsi="Times New Roman"/>
          <w:b w:val="false"/>
          <w:bCs/>
          <w:sz w:val="28"/>
          <w:szCs w:val="28"/>
        </w:rPr>
        <w:br/>
        <w:t>"</w:t>
      </w:r>
      <w:r>
        <w:rPr>
          <w:rStyle w:val="Style14"/>
          <w:rFonts w:cs="Times New Roman" w:ascii="Times New Roman" w:hAnsi="Times New Roman"/>
          <w:b w:val="false"/>
          <w:bCs/>
          <w:color w:val="auto"/>
          <w:sz w:val="28"/>
          <w:szCs w:val="28"/>
        </w:rPr>
        <w:t>Формирование современной городской</w:t>
        <w:br/>
        <w:t>среды Брянской области"</w:t>
      </w:r>
    </w:p>
    <w:p>
      <w:pPr>
        <w:pStyle w:val="1"/>
        <w:rPr>
          <w:rFonts w:ascii="Times New Roman" w:hAnsi="Times New Roman" w:eastAsia="" w:cs="Times New Roman" w:eastAsiaTheme="minorEastAsia"/>
          <w:b w:val="false"/>
          <w:b w:val="false"/>
          <w:color w:val="auto"/>
          <w:sz w:val="28"/>
          <w:szCs w:val="28"/>
        </w:rPr>
      </w:pPr>
      <w:r>
        <w:rPr>
          <w:rFonts w:eastAsia="" w:cs="Times New Roman" w:eastAsiaTheme="minorEastAsia" w:ascii="Times New Roman" w:hAnsi="Times New Roman"/>
          <w:b w:val="false"/>
          <w:color w:val="auto"/>
          <w:sz w:val="28"/>
          <w:szCs w:val="28"/>
        </w:rPr>
      </w:r>
    </w:p>
    <w:p>
      <w:pPr>
        <w:pStyle w:val="1"/>
        <w:rPr>
          <w:rFonts w:ascii="Times New Roman" w:hAnsi="Times New Roman" w:eastAsia="" w:cs="Times New Roman" w:eastAsiaTheme="minorEastAsia"/>
          <w:b w:val="false"/>
          <w:b w:val="false"/>
          <w:color w:val="auto"/>
          <w:sz w:val="28"/>
          <w:szCs w:val="28"/>
        </w:rPr>
      </w:pPr>
      <w:r>
        <w:rPr>
          <w:rFonts w:eastAsia="" w:cs="Times New Roman" w:ascii="Times New Roman" w:hAnsi="Times New Roman" w:eastAsiaTheme="minorEastAsia"/>
          <w:b w:val="false"/>
          <w:color w:val="auto"/>
          <w:sz w:val="28"/>
          <w:szCs w:val="28"/>
        </w:rPr>
        <w:t>Характеристика текущего состояния сферы реализации программы</w:t>
      </w:r>
      <w:bookmarkStart w:id="0" w:name="sub_1001"/>
      <w:bookmarkEnd w:id="0"/>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Одним из основных стратегических направлений развития Брянской области является обеспечение устойчивого развития населенных пунктов, которое предполагает совершенствование городской среды путем создания современной и эстетичной территории жизнедеятельности с развитой инфраструктурой: модернизация и развитие инженерной инфраструктуры населенного пункта, обеспечение безопасности жизнедеятельности населения, формирование здоровой среды обитания, обеспечение доступности городской среды для маломобильных групп населения.</w:t>
      </w:r>
    </w:p>
    <w:p>
      <w:pPr>
        <w:pStyle w:val="Normal"/>
        <w:rPr>
          <w:rFonts w:ascii="Times New Roman" w:hAnsi="Times New Roman" w:cs="Times New Roman"/>
          <w:sz w:val="28"/>
          <w:szCs w:val="28"/>
        </w:rPr>
      </w:pPr>
      <w:r>
        <w:rPr>
          <w:rFonts w:cs="Times New Roman" w:ascii="Times New Roman" w:hAnsi="Times New Roman"/>
          <w:sz w:val="28"/>
          <w:szCs w:val="28"/>
        </w:rPr>
        <w:t>Создание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w:t>
      </w:r>
    </w:p>
    <w:p>
      <w:pPr>
        <w:pStyle w:val="Normal"/>
        <w:rPr>
          <w:rFonts w:ascii="Times New Roman" w:hAnsi="Times New Roman" w:cs="Times New Roman"/>
          <w:sz w:val="28"/>
          <w:szCs w:val="28"/>
        </w:rPr>
      </w:pPr>
      <w:r>
        <w:rPr>
          <w:rFonts w:cs="Times New Roman" w:ascii="Times New Roman" w:hAnsi="Times New Roman"/>
          <w:sz w:val="28"/>
          <w:szCs w:val="28"/>
        </w:rPr>
        <w:t>Сегодня гражданам важно, как обеспечено освещение улиц, обустроены тротуары, скверы, парки, набережные, центральные улицы, дворовые территории и многое другое.</w:t>
      </w:r>
    </w:p>
    <w:p>
      <w:pPr>
        <w:pStyle w:val="Normal"/>
        <w:rPr>
          <w:rFonts w:ascii="Times New Roman" w:hAnsi="Times New Roman" w:cs="Times New Roman"/>
          <w:sz w:val="28"/>
          <w:szCs w:val="28"/>
        </w:rPr>
      </w:pPr>
      <w:r>
        <w:rPr>
          <w:rFonts w:cs="Times New Roman" w:ascii="Times New Roman" w:hAnsi="Times New Roman"/>
          <w:sz w:val="28"/>
          <w:szCs w:val="28"/>
        </w:rPr>
        <w:t>В настоящее время благоустройство дворовых и общественных территорий муниципальных образований области не соответствует современным требованиям. Более 50 процентов общественных территорий муниципальных образований области неблагоустроенны. Около 50 процентов дворовых территорий не обеспечены минимальным перечнем элементов благоустройства в совокупности (отсутствуют освещение, скамейки, урны, асфальтированные дворовые проезды).</w:t>
      </w:r>
    </w:p>
    <w:p>
      <w:pPr>
        <w:pStyle w:val="Normal"/>
        <w:rPr>
          <w:rFonts w:ascii="Times New Roman" w:hAnsi="Times New Roman" w:cs="Times New Roman"/>
          <w:sz w:val="28"/>
          <w:szCs w:val="28"/>
        </w:rPr>
      </w:pPr>
      <w:r>
        <w:rPr>
          <w:rFonts w:cs="Times New Roman" w:ascii="Times New Roman" w:hAnsi="Times New Roman"/>
          <w:sz w:val="28"/>
          <w:szCs w:val="28"/>
        </w:rPr>
        <w:t>Кроме того, органы местного самоуправления муниципальных образований области обладают не полной информацией о состоянии дворовых и общественных территорий муниципальных образований области по причине отсутствия инвентаризации этих территорий.</w:t>
      </w:r>
    </w:p>
    <w:p>
      <w:pPr>
        <w:pStyle w:val="Normal"/>
        <w:rPr>
          <w:rFonts w:ascii="Times New Roman" w:hAnsi="Times New Roman" w:cs="Times New Roman"/>
          <w:sz w:val="28"/>
          <w:szCs w:val="28"/>
        </w:rPr>
      </w:pPr>
      <w:r>
        <w:rPr>
          <w:rFonts w:cs="Times New Roman" w:ascii="Times New Roman" w:hAnsi="Times New Roman"/>
          <w:sz w:val="28"/>
          <w:szCs w:val="28"/>
        </w:rPr>
        <w:t>Успешная реализация в области федерального проекта "Формирование комфортной городской среды" позволит повысить уровень благоустройства дворовых территорий, мест массового отдыха населения (городских парков, скверов и прочих мест массового пребывания людей).</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1"/>
        <w:rPr>
          <w:rFonts w:ascii="Times New Roman" w:hAnsi="Times New Roman" w:eastAsia="" w:cs="Times New Roman" w:eastAsiaTheme="minorEastAsia"/>
          <w:b w:val="false"/>
          <w:b w:val="false"/>
          <w:color w:val="auto"/>
          <w:sz w:val="28"/>
          <w:szCs w:val="28"/>
        </w:rPr>
      </w:pPr>
      <w:r>
        <w:rPr>
          <w:rFonts w:eastAsia="" w:cs="Times New Roman" w:ascii="Times New Roman" w:hAnsi="Times New Roman" w:eastAsiaTheme="minorEastAsia"/>
          <w:b w:val="false"/>
          <w:color w:val="auto"/>
          <w:sz w:val="28"/>
          <w:szCs w:val="28"/>
        </w:rPr>
        <w:t xml:space="preserve">Приоритеты и цели региональной политики в сфере благоустройства городской среды.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Государственная политика Брянской области в сфере благоустройства городской среды увязана с приоритетами и целями государственной политики в жилищной и жилищно-коммунальной сферах, определенных Концепцией долгосрочного социально-экономического развития Российской Федерации, основных направлений деятельности Правительства Российской Федерации на среднесрочный период, посланий Президента Российской Федерации Федеральному Собранию Российской Федерации, федерального проекта "Формирование комфортной городской среды", иных нормативных правовых актах Президента Российской Федерации и Правительства Российской Федерации.</w:t>
      </w:r>
    </w:p>
    <w:p>
      <w:pPr>
        <w:pStyle w:val="Normal"/>
        <w:rPr>
          <w:rFonts w:ascii="Times New Roman" w:hAnsi="Times New Roman" w:cs="Times New Roman"/>
          <w:sz w:val="28"/>
          <w:szCs w:val="28"/>
        </w:rPr>
      </w:pPr>
      <w:bookmarkStart w:id="1" w:name="sub_1022"/>
      <w:bookmarkEnd w:id="1"/>
      <w:r>
        <w:rPr>
          <w:rFonts w:cs="Times New Roman" w:ascii="Times New Roman" w:hAnsi="Times New Roman"/>
          <w:sz w:val="28"/>
          <w:szCs w:val="28"/>
        </w:rPr>
        <w:t xml:space="preserve">В соответствии с </w:t>
      </w:r>
      <w:hyperlink r:id="rId2">
        <w:r>
          <w:rPr>
            <w:color w:val="auto"/>
            <w:sz w:val="28"/>
            <w:szCs w:val="28"/>
          </w:rPr>
          <w:t>государственной программой</w:t>
        </w:r>
      </w:hyperlink>
      <w:r>
        <w:rPr>
          <w:rFonts w:cs="Times New Roman" w:ascii="Times New Roman" w:hAnsi="Times New Roman"/>
          <w:sz w:val="28"/>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w:t>
      </w:r>
      <w:hyperlink r:id="rId3">
        <w:r>
          <w:rPr>
            <w:color w:val="auto"/>
            <w:sz w:val="28"/>
            <w:szCs w:val="28"/>
          </w:rPr>
          <w:t>постановлением</w:t>
        </w:r>
      </w:hyperlink>
      <w:r>
        <w:rPr>
          <w:rFonts w:cs="Times New Roman" w:ascii="Times New Roman" w:hAnsi="Times New Roman"/>
          <w:sz w:val="28"/>
          <w:szCs w:val="28"/>
        </w:rPr>
        <w:t xml:space="preserve"> Правительства Российской Федерации от 30 декабря 2017 года N 1710, стратегической целью государственной политики в жилищной и жилищно-коммунальной сферах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pPr>
        <w:pStyle w:val="Normal"/>
        <w:rPr>
          <w:rFonts w:ascii="Times New Roman" w:hAnsi="Times New Roman" w:cs="Times New Roman"/>
          <w:sz w:val="28"/>
          <w:szCs w:val="28"/>
        </w:rPr>
      </w:pPr>
      <w:bookmarkStart w:id="2" w:name="sub_1022"/>
      <w:bookmarkStart w:id="3" w:name="sub_1024"/>
      <w:bookmarkEnd w:id="2"/>
      <w:bookmarkEnd w:id="3"/>
      <w:r>
        <w:rPr>
          <w:rFonts w:cs="Times New Roman" w:ascii="Times New Roman" w:hAnsi="Times New Roman"/>
          <w:sz w:val="28"/>
          <w:szCs w:val="28"/>
        </w:rPr>
        <w:t>В рамках государственной программы "Формирование современной городской среды Брянской области" (далее - государственная программа) реализуются региональный проект Брянской области "Формирование комфортной городской среды" (далее - региональный проект), основной задачей которого является обеспечение проведения мероприятий по благоустройству территорий муниципальных образований в соответствии с едиными требованиями, и приоритетный проект Брянской области "Умный город" (далее - приоритетный проект), основной задачей которого является формирование эффективной системы управления городским хозяйством, вовлечение граждан в процессы управления городом.</w:t>
      </w:r>
    </w:p>
    <w:p>
      <w:pPr>
        <w:pStyle w:val="Normal"/>
        <w:rPr>
          <w:rFonts w:ascii="Times New Roman" w:hAnsi="Times New Roman" w:cs="Times New Roman"/>
          <w:sz w:val="28"/>
          <w:szCs w:val="28"/>
        </w:rPr>
      </w:pPr>
      <w:bookmarkStart w:id="4" w:name="sub_1024"/>
      <w:bookmarkEnd w:id="4"/>
      <w:r>
        <w:rPr>
          <w:rFonts w:cs="Times New Roman" w:ascii="Times New Roman" w:hAnsi="Times New Roman"/>
          <w:sz w:val="28"/>
          <w:szCs w:val="28"/>
        </w:rPr>
        <w:t xml:space="preserve">Благоустройство общественных территорий на территории Брянской области осуществляется также в рамках </w:t>
      </w:r>
      <w:hyperlink r:id="rId4">
        <w:r>
          <w:rPr>
            <w:color w:val="auto"/>
            <w:sz w:val="28"/>
            <w:szCs w:val="28"/>
          </w:rPr>
          <w:t>государственной программы</w:t>
        </w:r>
      </w:hyperlink>
      <w:r>
        <w:rPr>
          <w:rFonts w:cs="Times New Roman" w:ascii="Times New Roman" w:hAnsi="Times New Roman"/>
          <w:sz w:val="28"/>
          <w:szCs w:val="28"/>
        </w:rPr>
        <w:t xml:space="preserve"> "Региональная политика Брянской области", утвержденной </w:t>
      </w:r>
      <w:hyperlink r:id="rId5">
        <w:r>
          <w:rPr>
            <w:color w:val="auto"/>
            <w:sz w:val="28"/>
            <w:szCs w:val="28"/>
          </w:rPr>
          <w:t>постановлением</w:t>
        </w:r>
      </w:hyperlink>
      <w:r>
        <w:rPr>
          <w:rFonts w:cs="Times New Roman" w:ascii="Times New Roman" w:hAnsi="Times New Roman"/>
          <w:sz w:val="28"/>
          <w:szCs w:val="28"/>
        </w:rPr>
        <w:t xml:space="preserve"> Правительства Брянской области от 27 декабря 2018 года N 733-п.</w:t>
      </w:r>
      <w:bookmarkStart w:id="5" w:name="sub_1025"/>
      <w:bookmarkEnd w:id="5"/>
    </w:p>
    <w:p>
      <w:pPr>
        <w:pStyle w:val="Normal"/>
        <w:rPr>
          <w:sz w:val="28"/>
          <w:szCs w:val="28"/>
        </w:rPr>
      </w:pPr>
      <w:r>
        <w:rPr>
          <w:sz w:val="28"/>
          <w:szCs w:val="28"/>
        </w:rPr>
      </w:r>
    </w:p>
    <w:p>
      <w:pPr>
        <w:pStyle w:val="1"/>
        <w:rPr>
          <w:rFonts w:ascii="Times New Roman" w:hAnsi="Times New Roman" w:eastAsia="" w:cs="Times New Roman" w:eastAsiaTheme="minorEastAsia"/>
          <w:b w:val="false"/>
          <w:b w:val="false"/>
          <w:color w:val="auto"/>
          <w:sz w:val="28"/>
          <w:szCs w:val="28"/>
        </w:rPr>
      </w:pPr>
      <w:r>
        <w:rPr>
          <w:rFonts w:eastAsia="" w:cs="Times New Roman" w:ascii="Times New Roman" w:hAnsi="Times New Roman" w:eastAsiaTheme="minorEastAsia"/>
          <w:b w:val="false"/>
          <w:color w:val="auto"/>
          <w:sz w:val="28"/>
          <w:szCs w:val="28"/>
        </w:rPr>
        <w:t>Прогноз конечных результатов реализации программы</w:t>
      </w:r>
      <w:bookmarkStart w:id="6" w:name="sub_1003"/>
      <w:bookmarkEnd w:id="6"/>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Основными ожидаемыми результатами реализации программы, отражающими социальные и экономические выгоды области, должны стать:</w:t>
      </w:r>
    </w:p>
    <w:p>
      <w:pPr>
        <w:pStyle w:val="Normal"/>
        <w:rPr>
          <w:rFonts w:ascii="Times New Roman" w:hAnsi="Times New Roman" w:cs="Times New Roman"/>
          <w:sz w:val="28"/>
          <w:szCs w:val="28"/>
        </w:rPr>
      </w:pPr>
      <w:r>
        <w:rPr>
          <w:rFonts w:cs="Times New Roman" w:ascii="Times New Roman" w:hAnsi="Times New Roman"/>
          <w:sz w:val="28"/>
          <w:szCs w:val="28"/>
        </w:rPr>
        <w:t>увеличение доли благоустроенных дворовых территорий;</w:t>
      </w:r>
    </w:p>
    <w:p>
      <w:pPr>
        <w:pStyle w:val="Normal"/>
        <w:rPr>
          <w:rFonts w:ascii="Times New Roman" w:hAnsi="Times New Roman" w:cs="Times New Roman"/>
          <w:sz w:val="28"/>
          <w:szCs w:val="28"/>
        </w:rPr>
      </w:pPr>
      <w:r>
        <w:rPr>
          <w:rFonts w:cs="Times New Roman" w:ascii="Times New Roman" w:hAnsi="Times New Roman"/>
          <w:sz w:val="28"/>
          <w:szCs w:val="28"/>
        </w:rPr>
        <w:t>увеличение доли благоустроенных общественных территорий.</w:t>
      </w:r>
    </w:p>
    <w:p>
      <w:pPr>
        <w:pStyle w:val="Normal"/>
        <w:rPr>
          <w:rFonts w:ascii="Times New Roman" w:hAnsi="Times New Roman" w:cs="Times New Roman"/>
          <w:sz w:val="28"/>
          <w:szCs w:val="28"/>
        </w:rPr>
      </w:pPr>
      <w:r>
        <w:rPr>
          <w:rFonts w:cs="Times New Roman" w:ascii="Times New Roman" w:hAnsi="Times New Roman"/>
          <w:sz w:val="28"/>
          <w:szCs w:val="28"/>
        </w:rPr>
        <w:t>Реализация региональной программы позволит улучшить ряд показателей социально-экономического развития региона:</w:t>
      </w:r>
    </w:p>
    <w:p>
      <w:pPr>
        <w:pStyle w:val="Normal"/>
        <w:rPr>
          <w:rFonts w:ascii="Times New Roman" w:hAnsi="Times New Roman" w:cs="Times New Roman"/>
          <w:sz w:val="28"/>
          <w:szCs w:val="28"/>
        </w:rPr>
      </w:pPr>
      <w:r>
        <w:rPr>
          <w:rFonts w:cs="Times New Roman" w:ascii="Times New Roman" w:hAnsi="Times New Roman"/>
          <w:sz w:val="28"/>
          <w:szCs w:val="28"/>
        </w:rPr>
        <w:t>экономические (повышение налоговых поступлений в местный бюджет после благоустройства территорий, развитие туризма);</w:t>
      </w:r>
    </w:p>
    <w:p>
      <w:pPr>
        <w:pStyle w:val="Normal"/>
        <w:rPr>
          <w:rFonts w:ascii="Times New Roman" w:hAnsi="Times New Roman" w:cs="Times New Roman"/>
          <w:sz w:val="28"/>
          <w:szCs w:val="28"/>
        </w:rPr>
      </w:pPr>
      <w:r>
        <w:rPr>
          <w:rFonts w:cs="Times New Roman" w:ascii="Times New Roman" w:hAnsi="Times New Roman"/>
          <w:sz w:val="28"/>
          <w:szCs w:val="28"/>
        </w:rPr>
        <w:t>демографические (повышение привлекательности мест жительства для молодых семей);</w:t>
      </w:r>
    </w:p>
    <w:p>
      <w:pPr>
        <w:pStyle w:val="Normal"/>
        <w:rPr>
          <w:rFonts w:ascii="Times New Roman" w:hAnsi="Times New Roman" w:cs="Times New Roman"/>
          <w:sz w:val="28"/>
          <w:szCs w:val="28"/>
        </w:rPr>
      </w:pPr>
      <w:r>
        <w:rPr>
          <w:rFonts w:cs="Times New Roman" w:ascii="Times New Roman" w:hAnsi="Times New Roman"/>
          <w:sz w:val="28"/>
          <w:szCs w:val="28"/>
        </w:rPr>
        <w:t>социальные (увеличение пешеходных потоков для жителей, рост публичных пространств, приспособленных для различных творческих проявлений и самореализации горожан, прогулок, занятий спортом, общения с детьми и друг другом, обеспечение доступности городской среды для маломобильных групп населения и т.д.).</w:t>
      </w:r>
    </w:p>
    <w:p>
      <w:pPr>
        <w:pStyle w:val="1"/>
        <w:rPr>
          <w:rFonts w:ascii="Times New Roman" w:hAnsi="Times New Roman" w:eastAsia="" w:cs="Times New Roman" w:eastAsiaTheme="minorEastAsia"/>
          <w:b w:val="false"/>
          <w:b w:val="false"/>
          <w:color w:val="auto"/>
          <w:sz w:val="28"/>
          <w:szCs w:val="28"/>
        </w:rPr>
      </w:pPr>
      <w:r>
        <w:rPr>
          <w:rFonts w:eastAsia="" w:cs="Times New Roman" w:eastAsiaTheme="minorEastAsia" w:ascii="Times New Roman" w:hAnsi="Times New Roman"/>
          <w:b w:val="false"/>
          <w:color w:val="auto"/>
          <w:sz w:val="28"/>
          <w:szCs w:val="28"/>
        </w:rPr>
      </w:r>
    </w:p>
    <w:p>
      <w:pPr>
        <w:pStyle w:val="1"/>
        <w:rPr>
          <w:rFonts w:ascii="Times New Roman" w:hAnsi="Times New Roman" w:eastAsia="" w:cs="Times New Roman" w:eastAsiaTheme="minorEastAsia"/>
          <w:b w:val="false"/>
          <w:b w:val="false"/>
          <w:color w:val="auto"/>
          <w:sz w:val="28"/>
          <w:szCs w:val="28"/>
        </w:rPr>
      </w:pPr>
      <w:r>
        <w:rPr>
          <w:rFonts w:eastAsia="" w:cs="Times New Roman" w:ascii="Times New Roman" w:hAnsi="Times New Roman" w:eastAsiaTheme="minorEastAsia"/>
          <w:b w:val="false"/>
          <w:color w:val="auto"/>
          <w:sz w:val="28"/>
          <w:szCs w:val="28"/>
        </w:rPr>
        <w:t>Перечень показателей (индикаторов) программы</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Состав показателей (индикаторов) государственной программы определен исходя из принципа необходимости и достаточности информации для характеристики достижения целей, решения задач и выполнения основных мероприятий программы.</w:t>
      </w:r>
    </w:p>
    <w:p>
      <w:pPr>
        <w:pStyle w:val="Normal"/>
        <w:rPr>
          <w:rFonts w:ascii="Times New Roman" w:hAnsi="Times New Roman" w:cs="Times New Roman"/>
          <w:sz w:val="28"/>
          <w:szCs w:val="28"/>
        </w:rPr>
      </w:pPr>
      <w:r>
        <w:rPr>
          <w:rFonts w:cs="Times New Roman" w:ascii="Times New Roman" w:hAnsi="Times New Roman"/>
          <w:sz w:val="28"/>
          <w:szCs w:val="28"/>
        </w:rPr>
        <w:t>Перечень показателей (индикаторов) государственной программы носит открытый характер и предусматривает возможность корректировки в случае потери информативности показателя (достижение максимального значения или насыщения), изменения приоритетов государственной политики в сфере жилищно-коммунального обслуживания населения области.</w:t>
      </w:r>
    </w:p>
    <w:p>
      <w:pPr>
        <w:pStyle w:val="1"/>
        <w:rPr>
          <w:rFonts w:eastAsia="" w:eastAsiaTheme="minorEastAsia"/>
          <w:b w:val="false"/>
          <w:b w:val="false"/>
          <w:color w:val="auto"/>
          <w:sz w:val="28"/>
          <w:szCs w:val="28"/>
        </w:rPr>
      </w:pPr>
      <w:r>
        <w:rPr>
          <w:rFonts w:eastAsia="" w:eastAsiaTheme="minorEastAsia"/>
          <w:b w:val="false"/>
          <w:color w:val="auto"/>
          <w:sz w:val="28"/>
          <w:szCs w:val="28"/>
        </w:rPr>
      </w:r>
    </w:p>
    <w:p>
      <w:pPr>
        <w:pStyle w:val="1"/>
        <w:rPr>
          <w:rFonts w:ascii="Times New Roman" w:hAnsi="Times New Roman" w:eastAsia="" w:cs="Times New Roman" w:eastAsiaTheme="minorEastAsia"/>
          <w:b w:val="false"/>
          <w:b w:val="false"/>
          <w:color w:val="auto"/>
          <w:sz w:val="28"/>
          <w:szCs w:val="28"/>
        </w:rPr>
      </w:pPr>
      <w:r>
        <w:rPr>
          <w:rFonts w:eastAsia="" w:cs="Times New Roman" w:ascii="Times New Roman" w:hAnsi="Times New Roman" w:eastAsiaTheme="minorEastAsia"/>
          <w:b w:val="false"/>
          <w:color w:val="auto"/>
          <w:sz w:val="28"/>
          <w:szCs w:val="28"/>
        </w:rPr>
        <w:t>Анализ рисков реализации программы и описание мер управления рисками в целях минимизации их влияния на достижение целей программы</w:t>
      </w:r>
      <w:bookmarkStart w:id="7" w:name="sub_1009"/>
      <w:bookmarkEnd w:id="7"/>
    </w:p>
    <w:p>
      <w:pPr>
        <w:pStyle w:val="Normal"/>
        <w:rPr>
          <w:rFonts w:ascii="Times New Roman" w:hAnsi="Times New Roman" w:cs="Times New Roman"/>
        </w:rPr>
      </w:pPr>
      <w:r>
        <w:rPr>
          <w:rFonts w:cs="Times New Roman" w:ascii="Times New Roman" w:hAnsi="Times New Roman"/>
        </w:rPr>
      </w:r>
    </w:p>
    <w:tbl>
      <w:tblPr>
        <w:tblW w:w="5000" w:type="pct"/>
        <w:jc w:val="left"/>
        <w:tblInd w:w="0" w:type="dxa"/>
        <w:tblLayout w:type="fixed"/>
        <w:tblCellMar>
          <w:top w:w="0" w:type="dxa"/>
          <w:left w:w="108" w:type="dxa"/>
          <w:bottom w:w="0" w:type="dxa"/>
          <w:right w:w="108" w:type="dxa"/>
        </w:tblCellMar>
        <w:tblLook w:val="04a0"/>
      </w:tblPr>
      <w:tblGrid>
        <w:gridCol w:w="794"/>
        <w:gridCol w:w="3303"/>
        <w:gridCol w:w="5258"/>
      </w:tblGrid>
      <w:tr>
        <w:trPr/>
        <w:tc>
          <w:tcPr>
            <w:tcW w:w="794" w:type="dxa"/>
            <w:tcBorders>
              <w:top w:val="single" w:sz="4" w:space="0" w:color="000000"/>
              <w:left w:val="single" w:sz="4" w:space="0" w:color="000000"/>
              <w:bottom w:val="single" w:sz="4" w:space="0" w:color="000000"/>
              <w:right w:val="single" w:sz="4" w:space="0" w:color="000000"/>
            </w:tcBorders>
          </w:tcPr>
          <w:p>
            <w:pPr>
              <w:pStyle w:val="Style23"/>
              <w:widowControl w:val="false"/>
              <w:spacing w:lineRule="auto" w:line="276"/>
              <w:jc w:val="center"/>
              <w:rPr>
                <w:rFonts w:ascii="Times New Roman" w:hAnsi="Times New Roman" w:cs="Times New Roman"/>
                <w:sz w:val="28"/>
                <w:szCs w:val="28"/>
              </w:rPr>
            </w:pPr>
            <w:r>
              <w:rPr>
                <w:rFonts w:cs="Times New Roman" w:ascii="Times New Roman" w:hAnsi="Times New Roman"/>
                <w:sz w:val="28"/>
                <w:szCs w:val="28"/>
              </w:rPr>
              <w:t>N пп</w:t>
            </w:r>
          </w:p>
        </w:tc>
        <w:tc>
          <w:tcPr>
            <w:tcW w:w="3303" w:type="dxa"/>
            <w:tcBorders>
              <w:top w:val="single" w:sz="4" w:space="0" w:color="000000"/>
              <w:left w:val="single" w:sz="4" w:space="0" w:color="000000"/>
              <w:bottom w:val="single" w:sz="4" w:space="0" w:color="000000"/>
              <w:right w:val="single" w:sz="4" w:space="0" w:color="000000"/>
            </w:tcBorders>
          </w:tcPr>
          <w:p>
            <w:pPr>
              <w:pStyle w:val="Style23"/>
              <w:widowControl w:val="false"/>
              <w:spacing w:lineRule="auto" w:line="276"/>
              <w:jc w:val="center"/>
              <w:rPr>
                <w:rFonts w:ascii="Times New Roman" w:hAnsi="Times New Roman" w:cs="Times New Roman"/>
                <w:sz w:val="28"/>
                <w:szCs w:val="28"/>
              </w:rPr>
            </w:pPr>
            <w:r>
              <w:rPr>
                <w:rFonts w:cs="Times New Roman" w:ascii="Times New Roman" w:hAnsi="Times New Roman"/>
                <w:sz w:val="28"/>
                <w:szCs w:val="28"/>
              </w:rPr>
              <w:t>Наименование риска/возможности</w:t>
            </w:r>
          </w:p>
        </w:tc>
        <w:tc>
          <w:tcPr>
            <w:tcW w:w="5258" w:type="dxa"/>
            <w:tcBorders>
              <w:top w:val="single" w:sz="4" w:space="0" w:color="000000"/>
              <w:left w:val="single" w:sz="4" w:space="0" w:color="000000"/>
              <w:bottom w:val="single" w:sz="4" w:space="0" w:color="000000"/>
              <w:right w:val="single" w:sz="4" w:space="0" w:color="000000"/>
            </w:tcBorders>
          </w:tcPr>
          <w:p>
            <w:pPr>
              <w:pStyle w:val="Style23"/>
              <w:widowControl w:val="false"/>
              <w:spacing w:lineRule="auto" w:line="276"/>
              <w:ind w:right="304" w:hanging="0"/>
              <w:jc w:val="center"/>
              <w:rPr>
                <w:rFonts w:ascii="Times New Roman" w:hAnsi="Times New Roman" w:cs="Times New Roman"/>
                <w:sz w:val="28"/>
                <w:szCs w:val="28"/>
              </w:rPr>
            </w:pPr>
            <w:r>
              <w:rPr>
                <w:rFonts w:cs="Times New Roman" w:ascii="Times New Roman" w:hAnsi="Times New Roman"/>
                <w:sz w:val="28"/>
                <w:szCs w:val="28"/>
              </w:rPr>
              <w:t>Мероприятия по предупреждению риска/реализации возможности</w:t>
            </w:r>
          </w:p>
        </w:tc>
      </w:tr>
      <w:tr>
        <w:trPr/>
        <w:tc>
          <w:tcPr>
            <w:tcW w:w="9355" w:type="dxa"/>
            <w:gridSpan w:val="3"/>
            <w:tcBorders>
              <w:top w:val="single" w:sz="4" w:space="0" w:color="000000"/>
              <w:left w:val="single" w:sz="4" w:space="0" w:color="000000"/>
              <w:bottom w:val="single" w:sz="4" w:space="0" w:color="000000"/>
              <w:right w:val="single" w:sz="4" w:space="0" w:color="000000"/>
            </w:tcBorders>
          </w:tcPr>
          <w:p>
            <w:pPr>
              <w:pStyle w:val="Style23"/>
              <w:widowControl w:val="false"/>
              <w:spacing w:lineRule="auto" w:line="276"/>
              <w:jc w:val="center"/>
              <w:rPr>
                <w:rFonts w:ascii="Times New Roman" w:hAnsi="Times New Roman" w:cs="Times New Roman"/>
                <w:sz w:val="28"/>
                <w:szCs w:val="28"/>
              </w:rPr>
            </w:pPr>
            <w:r>
              <w:rPr>
                <w:rFonts w:cs="Times New Roman" w:ascii="Times New Roman" w:hAnsi="Times New Roman"/>
                <w:sz w:val="28"/>
                <w:szCs w:val="28"/>
              </w:rPr>
              <w:t>Ключевые риски</w:t>
            </w:r>
          </w:p>
        </w:tc>
      </w:tr>
      <w:tr>
        <w:trPr/>
        <w:tc>
          <w:tcPr>
            <w:tcW w:w="794" w:type="dxa"/>
            <w:tcBorders>
              <w:top w:val="single" w:sz="4" w:space="0" w:color="000000"/>
              <w:left w:val="single" w:sz="4" w:space="0" w:color="000000"/>
              <w:bottom w:val="single" w:sz="4" w:space="0" w:color="000000"/>
              <w:right w:val="single" w:sz="4" w:space="0" w:color="000000"/>
            </w:tcBorders>
          </w:tcPr>
          <w:p>
            <w:pPr>
              <w:pStyle w:val="Style23"/>
              <w:widowControl w:val="false"/>
              <w:spacing w:lineRule="auto" w:line="276"/>
              <w:jc w:val="center"/>
              <w:rPr>
                <w:rFonts w:ascii="Times New Roman" w:hAnsi="Times New Roman" w:cs="Times New Roman"/>
                <w:sz w:val="28"/>
                <w:szCs w:val="28"/>
              </w:rPr>
            </w:pPr>
            <w:r>
              <w:rPr>
                <w:rFonts w:cs="Times New Roman" w:ascii="Times New Roman" w:hAnsi="Times New Roman"/>
                <w:sz w:val="28"/>
                <w:szCs w:val="28"/>
              </w:rPr>
              <w:t>1.</w:t>
            </w:r>
          </w:p>
        </w:tc>
        <w:tc>
          <w:tcPr>
            <w:tcW w:w="3303" w:type="dxa"/>
            <w:tcBorders>
              <w:top w:val="single" w:sz="4" w:space="0" w:color="000000"/>
              <w:left w:val="single" w:sz="4" w:space="0" w:color="000000"/>
              <w:bottom w:val="single" w:sz="4" w:space="0" w:color="000000"/>
              <w:right w:val="single" w:sz="4" w:space="0" w:color="000000"/>
            </w:tcBorders>
          </w:tcPr>
          <w:p>
            <w:pPr>
              <w:pStyle w:val="Style25"/>
              <w:widowControl w:val="false"/>
              <w:spacing w:lineRule="auto" w:line="276"/>
              <w:rPr>
                <w:rFonts w:ascii="Times New Roman" w:hAnsi="Times New Roman" w:cs="Times New Roman"/>
                <w:sz w:val="28"/>
                <w:szCs w:val="28"/>
              </w:rPr>
            </w:pPr>
            <w:r>
              <w:rPr>
                <w:rFonts w:cs="Times New Roman" w:ascii="Times New Roman" w:hAnsi="Times New Roman"/>
                <w:sz w:val="28"/>
                <w:szCs w:val="28"/>
              </w:rPr>
              <w:t>Отсутствие средств федерального, муниципального бюджетов для софинансирования проектов по благоустройству в области</w:t>
            </w:r>
          </w:p>
        </w:tc>
        <w:tc>
          <w:tcPr>
            <w:tcW w:w="5258" w:type="dxa"/>
            <w:tcBorders>
              <w:top w:val="single" w:sz="4" w:space="0" w:color="000000"/>
              <w:left w:val="single" w:sz="4" w:space="0" w:color="000000"/>
              <w:bottom w:val="single" w:sz="4" w:space="0" w:color="000000"/>
              <w:right w:val="single" w:sz="4" w:space="0" w:color="000000"/>
            </w:tcBorders>
          </w:tcPr>
          <w:p>
            <w:pPr>
              <w:pStyle w:val="Style25"/>
              <w:widowControl w:val="false"/>
              <w:spacing w:lineRule="auto" w:line="276"/>
              <w:rPr>
                <w:rFonts w:ascii="Times New Roman" w:hAnsi="Times New Roman" w:cs="Times New Roman"/>
                <w:sz w:val="28"/>
                <w:szCs w:val="28"/>
              </w:rPr>
            </w:pPr>
            <w:r>
              <w:rPr>
                <w:rFonts w:cs="Times New Roman" w:ascii="Times New Roman" w:hAnsi="Times New Roman"/>
                <w:sz w:val="28"/>
                <w:szCs w:val="28"/>
              </w:rPr>
              <w:t>проведение информационно-разъяснительной работы в средствах массовой информации в целях стимулирования активности граждан, организаций и бизнеса в софинансировании проектов по благоустройству</w:t>
            </w:r>
          </w:p>
        </w:tc>
      </w:tr>
      <w:tr>
        <w:trPr/>
        <w:tc>
          <w:tcPr>
            <w:tcW w:w="794" w:type="dxa"/>
            <w:tcBorders>
              <w:top w:val="single" w:sz="4" w:space="0" w:color="000000"/>
              <w:left w:val="single" w:sz="4" w:space="0" w:color="000000"/>
              <w:bottom w:val="single" w:sz="4" w:space="0" w:color="000000"/>
              <w:right w:val="single" w:sz="4" w:space="0" w:color="000000"/>
            </w:tcBorders>
          </w:tcPr>
          <w:p>
            <w:pPr>
              <w:pStyle w:val="Style23"/>
              <w:widowControl w:val="false"/>
              <w:spacing w:lineRule="auto" w:line="276"/>
              <w:jc w:val="center"/>
              <w:rPr>
                <w:rFonts w:ascii="Times New Roman" w:hAnsi="Times New Roman" w:cs="Times New Roman"/>
                <w:sz w:val="28"/>
                <w:szCs w:val="28"/>
              </w:rPr>
            </w:pPr>
            <w:r>
              <w:rPr>
                <w:rFonts w:cs="Times New Roman" w:ascii="Times New Roman" w:hAnsi="Times New Roman"/>
                <w:sz w:val="28"/>
                <w:szCs w:val="28"/>
              </w:rPr>
              <w:t>2.</w:t>
            </w:r>
          </w:p>
        </w:tc>
        <w:tc>
          <w:tcPr>
            <w:tcW w:w="3303" w:type="dxa"/>
            <w:tcBorders>
              <w:top w:val="single" w:sz="4" w:space="0" w:color="000000"/>
              <w:left w:val="single" w:sz="4" w:space="0" w:color="000000"/>
              <w:bottom w:val="single" w:sz="4" w:space="0" w:color="000000"/>
              <w:right w:val="single" w:sz="4" w:space="0" w:color="000000"/>
            </w:tcBorders>
          </w:tcPr>
          <w:p>
            <w:pPr>
              <w:pStyle w:val="Style25"/>
              <w:widowControl w:val="false"/>
              <w:spacing w:lineRule="auto" w:line="276"/>
              <w:rPr>
                <w:rFonts w:ascii="Times New Roman" w:hAnsi="Times New Roman" w:cs="Times New Roman"/>
                <w:sz w:val="28"/>
                <w:szCs w:val="28"/>
              </w:rPr>
            </w:pPr>
            <w:r>
              <w:rPr>
                <w:rFonts w:cs="Times New Roman" w:ascii="Times New Roman" w:hAnsi="Times New Roman"/>
                <w:sz w:val="28"/>
                <w:szCs w:val="28"/>
              </w:rPr>
              <w:t>Отсутствие заявок от муниципальных образований области, непредставление проектов по благоустройству в департамент топливно-энергетического комплекса и жилищно-коммунального хозяйства Брянской области для дальнейшего направления на конкурс лучших практик в Министерство строительства и жилищно-коммунального хозяйства Российской Федерации</w:t>
            </w:r>
          </w:p>
        </w:tc>
        <w:tc>
          <w:tcPr>
            <w:tcW w:w="5258" w:type="dxa"/>
            <w:tcBorders>
              <w:top w:val="single" w:sz="4" w:space="0" w:color="000000"/>
              <w:left w:val="single" w:sz="4" w:space="0" w:color="000000"/>
              <w:bottom w:val="single" w:sz="4" w:space="0" w:color="000000"/>
              <w:right w:val="single" w:sz="4" w:space="0" w:color="000000"/>
            </w:tcBorders>
          </w:tcPr>
          <w:p>
            <w:pPr>
              <w:pStyle w:val="Style25"/>
              <w:widowControl w:val="false"/>
              <w:spacing w:lineRule="auto" w:line="276"/>
              <w:rPr>
                <w:rFonts w:ascii="Times New Roman" w:hAnsi="Times New Roman" w:cs="Times New Roman"/>
                <w:sz w:val="28"/>
                <w:szCs w:val="28"/>
              </w:rPr>
            </w:pPr>
            <w:r>
              <w:rPr>
                <w:rFonts w:cs="Times New Roman" w:ascii="Times New Roman" w:hAnsi="Times New Roman"/>
                <w:sz w:val="28"/>
                <w:szCs w:val="28"/>
              </w:rPr>
              <w:t>активная работа и вовлечение должностных лиц (руководителей органов местного самоуправления) муниципальных образований области, граждан и организаций, которые могут стать инициаторами проектов по благоустройству; проведение информационно-разъяснительной работы в средствах массовой информации в целях стимулирования активности граждан и бизнеса в инициации проектов по благоустройству</w:t>
            </w:r>
          </w:p>
        </w:tc>
      </w:tr>
      <w:tr>
        <w:trPr/>
        <w:tc>
          <w:tcPr>
            <w:tcW w:w="794" w:type="dxa"/>
            <w:tcBorders>
              <w:top w:val="single" w:sz="4" w:space="0" w:color="000000"/>
              <w:left w:val="single" w:sz="4" w:space="0" w:color="000000"/>
              <w:bottom w:val="single" w:sz="4" w:space="0" w:color="000000"/>
              <w:right w:val="single" w:sz="4" w:space="0" w:color="000000"/>
            </w:tcBorders>
          </w:tcPr>
          <w:p>
            <w:pPr>
              <w:pStyle w:val="Style23"/>
              <w:widowControl w:val="false"/>
              <w:spacing w:lineRule="auto" w:line="276"/>
              <w:jc w:val="center"/>
              <w:rPr>
                <w:rFonts w:ascii="Times New Roman" w:hAnsi="Times New Roman" w:cs="Times New Roman"/>
                <w:sz w:val="28"/>
                <w:szCs w:val="28"/>
              </w:rPr>
            </w:pPr>
            <w:r>
              <w:rPr>
                <w:rFonts w:cs="Times New Roman" w:ascii="Times New Roman" w:hAnsi="Times New Roman"/>
                <w:sz w:val="28"/>
                <w:szCs w:val="28"/>
              </w:rPr>
              <w:t>3.</w:t>
            </w:r>
          </w:p>
        </w:tc>
        <w:tc>
          <w:tcPr>
            <w:tcW w:w="3303" w:type="dxa"/>
            <w:tcBorders>
              <w:top w:val="single" w:sz="4" w:space="0" w:color="000000"/>
              <w:left w:val="single" w:sz="4" w:space="0" w:color="000000"/>
              <w:bottom w:val="single" w:sz="4" w:space="0" w:color="000000"/>
              <w:right w:val="single" w:sz="4" w:space="0" w:color="000000"/>
            </w:tcBorders>
          </w:tcPr>
          <w:p>
            <w:pPr>
              <w:pStyle w:val="Style25"/>
              <w:widowControl w:val="false"/>
              <w:spacing w:lineRule="auto" w:line="276"/>
              <w:rPr>
                <w:rFonts w:ascii="Times New Roman" w:hAnsi="Times New Roman" w:cs="Times New Roman"/>
                <w:sz w:val="28"/>
                <w:szCs w:val="28"/>
              </w:rPr>
            </w:pPr>
            <w:r>
              <w:rPr>
                <w:rFonts w:cs="Times New Roman" w:ascii="Times New Roman" w:hAnsi="Times New Roman"/>
                <w:sz w:val="28"/>
                <w:szCs w:val="28"/>
              </w:rPr>
              <w:t>Реализация в неполном объеме муниципальных программ по формированию современной городской среды</w:t>
            </w:r>
          </w:p>
        </w:tc>
        <w:tc>
          <w:tcPr>
            <w:tcW w:w="5258" w:type="dxa"/>
            <w:tcBorders>
              <w:top w:val="single" w:sz="4" w:space="0" w:color="000000"/>
              <w:left w:val="single" w:sz="4" w:space="0" w:color="000000"/>
              <w:bottom w:val="single" w:sz="4" w:space="0" w:color="000000"/>
              <w:right w:val="single" w:sz="4" w:space="0" w:color="000000"/>
            </w:tcBorders>
          </w:tcPr>
          <w:p>
            <w:pPr>
              <w:pStyle w:val="Style25"/>
              <w:widowControl w:val="false"/>
              <w:spacing w:lineRule="auto" w:line="276"/>
              <w:rPr>
                <w:rFonts w:ascii="Times New Roman" w:hAnsi="Times New Roman" w:cs="Times New Roman"/>
                <w:sz w:val="28"/>
                <w:szCs w:val="28"/>
              </w:rPr>
            </w:pPr>
            <w:r>
              <w:rPr>
                <w:rFonts w:cs="Times New Roman" w:ascii="Times New Roman" w:hAnsi="Times New Roman"/>
                <w:sz w:val="28"/>
                <w:szCs w:val="28"/>
              </w:rPr>
              <w:t>формирование четкого графика реализации конкретных мероприятий в рамках муниципальных программ по формированию современной городской среды с указанием сроков исполнения мероприятий и ответственных должностных лиц за реализацию мероприятий</w:t>
            </w:r>
          </w:p>
        </w:tc>
      </w:tr>
    </w:tbl>
    <w:p>
      <w:pPr>
        <w:pStyle w:val="Normal"/>
        <w:rPr>
          <w:rFonts w:ascii="Times New Roman" w:hAnsi="Times New Roman" w:cs="Times New Roman"/>
        </w:rPr>
      </w:pPr>
      <w:r>
        <w:rPr>
          <w:rFonts w:cs="Times New Roman" w:ascii="Times New Roman" w:hAnsi="Times New Roman"/>
        </w:rPr>
      </w:r>
    </w:p>
    <w:p>
      <w:pPr>
        <w:pStyle w:val="Style22"/>
        <w:rPr>
          <w:rFonts w:ascii="Times New Roman" w:hAnsi="Times New Roman" w:cs="Times New Roman"/>
          <w:shd w:fill="F0F0F0" w:val="clear"/>
        </w:rPr>
      </w:pPr>
      <w:r>
        <w:rPr>
          <w:rFonts w:cs="Times New Roman" w:ascii="Times New Roman" w:hAnsi="Times New Roman"/>
          <w:shd w:fill="F0F0F0" w:val="clear"/>
        </w:rPr>
      </w:r>
    </w:p>
    <w:p>
      <w:pPr>
        <w:pStyle w:val="1"/>
        <w:rPr>
          <w:rFonts w:ascii="Times New Roman" w:hAnsi="Times New Roman" w:eastAsia="" w:cs="Times New Roman" w:eastAsiaTheme="minorEastAsia"/>
          <w:b w:val="false"/>
          <w:b w:val="false"/>
          <w:color w:val="auto"/>
          <w:sz w:val="28"/>
          <w:szCs w:val="28"/>
        </w:rPr>
      </w:pPr>
      <w:r>
        <w:rPr>
          <w:rFonts w:eastAsia="" w:cs="Times New Roman" w:ascii="Times New Roman" w:hAnsi="Times New Roman" w:eastAsiaTheme="minorEastAsia"/>
          <w:b w:val="false"/>
          <w:color w:val="auto"/>
          <w:sz w:val="28"/>
          <w:szCs w:val="28"/>
        </w:rPr>
        <w:t>Механизм реализации программы</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sz w:val="28"/>
          <w:szCs w:val="28"/>
        </w:rPr>
      </w:pPr>
      <w:r>
        <w:rPr>
          <w:rFonts w:cs="Times New Roman" w:ascii="Times New Roman" w:hAnsi="Times New Roman"/>
          <w:sz w:val="28"/>
          <w:szCs w:val="28"/>
        </w:rPr>
        <w:t>Для успешной реализации государственной программы формируется механизм управления, включающий:</w:t>
      </w:r>
    </w:p>
    <w:p>
      <w:pPr>
        <w:pStyle w:val="Normal"/>
        <w:rPr>
          <w:rFonts w:ascii="Times New Roman" w:hAnsi="Times New Roman" w:cs="Times New Roman"/>
          <w:sz w:val="28"/>
          <w:szCs w:val="28"/>
        </w:rPr>
      </w:pPr>
      <w:r>
        <w:rPr>
          <w:rFonts w:cs="Times New Roman" w:ascii="Times New Roman" w:hAnsi="Times New Roman"/>
          <w:sz w:val="28"/>
          <w:szCs w:val="28"/>
        </w:rPr>
        <w:t>закрепление ответственности за выполнением мероприятий государственной программы за департаментом топливно-энергетического комплекса и жилищно-коммунального хозяйства Брянской области;</w:t>
      </w:r>
    </w:p>
    <w:p>
      <w:pPr>
        <w:pStyle w:val="Normal"/>
        <w:rPr>
          <w:rFonts w:ascii="Times New Roman" w:hAnsi="Times New Roman" w:cs="Times New Roman"/>
          <w:sz w:val="28"/>
          <w:szCs w:val="28"/>
        </w:rPr>
      </w:pPr>
      <w:r>
        <w:rPr>
          <w:rFonts w:cs="Times New Roman" w:ascii="Times New Roman" w:hAnsi="Times New Roman"/>
          <w:sz w:val="28"/>
          <w:szCs w:val="28"/>
        </w:rPr>
        <w:t>создание системы мониторингов, позволяющих отслеживать выполнение показателей, характеризующих достижение главной цели и решение задач государственной программы;</w:t>
      </w:r>
    </w:p>
    <w:p>
      <w:pPr>
        <w:pStyle w:val="Normal"/>
        <w:rPr>
          <w:rFonts w:ascii="Times New Roman" w:hAnsi="Times New Roman" w:cs="Times New Roman"/>
          <w:sz w:val="28"/>
          <w:szCs w:val="28"/>
        </w:rPr>
      </w:pPr>
      <w:r>
        <w:rPr>
          <w:rFonts w:cs="Times New Roman" w:ascii="Times New Roman" w:hAnsi="Times New Roman"/>
          <w:sz w:val="28"/>
          <w:szCs w:val="28"/>
        </w:rPr>
        <w:t xml:space="preserve">порядок инвентаризации общественных территорий в муниципальных образованиях области, дворовых территорий многоквартирных домов в муниципальных образованиях области и порядок инвентаризации уровня благоустройства индивидуальных жилых домов и земельных участков, предоставленных для их размещения в муниципальных образованиях Брянской области, представленный в </w:t>
      </w:r>
      <w:r>
        <w:fldChar w:fldCharType="begin"/>
      </w:r>
      <w:r>
        <w:rPr>
          <w:sz w:val="28"/>
          <w:szCs w:val="28"/>
          <w:color w:val="auto"/>
        </w:rPr>
        <w:instrText> HYPERLINK "file:///C:/Users/EKATERINA/Desktop/%D0%91%D0%BB%D0%B0%D0%B3%D0%BE%D1%83%D1%81%D1%82%D1%80%D0%BE%D0%B9%D1%81%D1%82%D0%B2%D0%BE/%D0%91%D0%BB%D0%B0%D0%B3%D0%BE%D1%83%D1%81%D1%82%D1%80%D0%BE%D0%B9%D1%81%D1%82%D0%B2%D0%BE%202021/%D0%9F%D1%80%D0%BE%D0%B3%D1%80%D0%B0%D0%BC%D0%BC%D0%B0%20%D0%BD%D0%B0%202021%20%D0%B3%D0%BE%D0%B4.rtf" \l "sub_3000"</w:instrText>
      </w:r>
      <w:r>
        <w:rPr>
          <w:sz w:val="28"/>
          <w:szCs w:val="28"/>
          <w:color w:val="auto"/>
        </w:rPr>
        <w:fldChar w:fldCharType="separate"/>
      </w:r>
      <w:r>
        <w:rPr>
          <w:color w:val="auto"/>
          <w:sz w:val="28"/>
          <w:szCs w:val="28"/>
        </w:rPr>
        <w:t>приложении 3</w:t>
      </w:r>
      <w:r>
        <w:rPr>
          <w:sz w:val="28"/>
          <w:szCs w:val="28"/>
          <w:color w:val="auto"/>
        </w:rPr>
        <w:fldChar w:fldCharType="end"/>
      </w:r>
      <w:r>
        <w:rPr>
          <w:rFonts w:cs="Times New Roman" w:ascii="Times New Roman" w:hAnsi="Times New Roman"/>
          <w:sz w:val="28"/>
          <w:szCs w:val="28"/>
        </w:rPr>
        <w:t xml:space="preserve"> к государственной программе;</w:t>
      </w:r>
    </w:p>
    <w:p>
      <w:pPr>
        <w:pStyle w:val="Normal"/>
        <w:rPr>
          <w:rFonts w:ascii="Times New Roman" w:hAnsi="Times New Roman" w:cs="Times New Roman"/>
          <w:sz w:val="28"/>
          <w:szCs w:val="28"/>
        </w:rPr>
      </w:pPr>
      <w:r>
        <w:rPr>
          <w:rFonts w:cs="Times New Roman" w:ascii="Times New Roman" w:hAnsi="Times New Roman"/>
          <w:sz w:val="28"/>
          <w:szCs w:val="28"/>
        </w:rPr>
        <w:t>предоставление и распределение субсидий из областного бюджета бюджетам муниципальных образований Брянской области на поддержку муниципальных программ формирования современной городской среды, разрабатываемых в рамках регионального проекта "Формирование комфортной городской среды" (</w:t>
      </w:r>
      <w:r>
        <w:fldChar w:fldCharType="begin"/>
      </w:r>
      <w:r>
        <w:rPr>
          <w:sz w:val="28"/>
          <w:szCs w:val="28"/>
          <w:color w:val="auto"/>
        </w:rPr>
        <w:instrText> HYPERLINK "file:///C:/Users/EKATERINA/Desktop/%D0%91%D0%BB%D0%B0%D0%B3%D0%BE%D1%83%D1%81%D1%82%D1%80%D0%BE%D0%B9%D1%81%D1%82%D0%B2%D0%BE/%D0%91%D0%BB%D0%B0%D0%B3%D0%BE%D1%83%D1%81%D1%82%D1%80%D0%BE%D0%B9%D1%81%D1%82%D0%B2%D0%BE%202021/%D0%9F%D1%80%D0%BE%D0%B3%D1%80%D0%B0%D0%BC%D0%BC%D0%B0%20%D0%BD%D0%B0%202021%20%D0%B3%D0%BE%D0%B4.rtf" \l "sub_4000"</w:instrText>
      </w:r>
      <w:r>
        <w:rPr>
          <w:sz w:val="28"/>
          <w:szCs w:val="28"/>
          <w:color w:val="auto"/>
        </w:rPr>
        <w:fldChar w:fldCharType="separate"/>
      </w:r>
      <w:r>
        <w:rPr>
          <w:color w:val="auto"/>
          <w:sz w:val="28"/>
          <w:szCs w:val="28"/>
        </w:rPr>
        <w:t>приложение 4</w:t>
      </w:r>
      <w:r>
        <w:rPr>
          <w:sz w:val="28"/>
          <w:szCs w:val="28"/>
          <w:color w:val="auto"/>
        </w:rPr>
        <w:fldChar w:fldCharType="end"/>
      </w:r>
      <w:r>
        <w:rPr>
          <w:rFonts w:cs="Times New Roman" w:ascii="Times New Roman" w:hAnsi="Times New Roman"/>
          <w:sz w:val="28"/>
          <w:szCs w:val="28"/>
        </w:rPr>
        <w:t xml:space="preserve"> к государственной программе).</w:t>
      </w:r>
    </w:p>
    <w:p>
      <w:pPr>
        <w:pStyle w:val="Normal"/>
        <w:rPr>
          <w:rFonts w:ascii="Times New Roman" w:hAnsi="Times New Roman" w:cs="Times New Roman"/>
          <w:sz w:val="28"/>
          <w:szCs w:val="28"/>
        </w:rPr>
      </w:pPr>
      <w:r>
        <w:rPr>
          <w:rFonts w:cs="Times New Roman" w:ascii="Times New Roman" w:hAnsi="Times New Roman"/>
          <w:sz w:val="28"/>
          <w:szCs w:val="28"/>
        </w:rPr>
        <w:t>Внесение изменений в государственную программу осуществляется по инициативе ответственного исполнителя государственной программы либо во исполнение поручений Губернатора Брянской области и Правительства Брянской области, в том числе с учетом результатов оценки эффективности реализации государственной программы.</w:t>
      </w:r>
    </w:p>
    <w:p>
      <w:pPr>
        <w:pStyle w:val="Normal"/>
        <w:rPr>
          <w:rFonts w:ascii="Times New Roman" w:hAnsi="Times New Roman" w:cs="Times New Roman"/>
          <w:sz w:val="28"/>
          <w:szCs w:val="28"/>
        </w:rPr>
      </w:pPr>
      <w:r>
        <w:rPr>
          <w:rFonts w:cs="Times New Roman" w:ascii="Times New Roman" w:hAnsi="Times New Roman"/>
          <w:sz w:val="28"/>
          <w:szCs w:val="28"/>
        </w:rPr>
        <w:t>Ответственный исполнитель государственной программы размещает на своем официальном сайте в информационно-телекоммуникационной сети "Интернет" информацию о государственной программе, ходе ее реализации, достижении значений показателей (индикаторов) государственной программы, степени выполнения мероприятий государственной программы.</w:t>
      </w:r>
    </w:p>
    <w:p>
      <w:pPr>
        <w:pStyle w:val="Normal"/>
        <w:rPr>
          <w:rFonts w:ascii="Times New Roman" w:hAnsi="Times New Roman" w:cs="Times New Roman"/>
          <w:sz w:val="28"/>
          <w:szCs w:val="28"/>
        </w:rPr>
      </w:pPr>
      <w:r>
        <w:rPr>
          <w:rFonts w:cs="Times New Roman" w:ascii="Times New Roman" w:hAnsi="Times New Roman"/>
          <w:sz w:val="28"/>
          <w:szCs w:val="28"/>
        </w:rPr>
        <w:t>Решение об изменении ресурсного обеспечения в ходе реализации государственной программы может быть принято в связи с сокращением финансирования вследствие кризисных явлений в экономике, по результатам оценки эффективности проводимых мероприятий государственной программы на основе анализа показателей (индикаторов) государственной программы, а также в случае изменения нормативных правовых актов Российской Федерации и Брянской области в сфере реализации государственной программы.</w:t>
      </w:r>
    </w:p>
    <w:p>
      <w:pPr>
        <w:pStyle w:val="Normal"/>
        <w:rPr>
          <w:rFonts w:ascii="Times New Roman" w:hAnsi="Times New Roman" w:cs="Times New Roman"/>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CYR">
    <w:charset w:val="cc"/>
    <w:family w:val="roman"/>
    <w:pitch w:val="variable"/>
  </w:font>
  <w:font w:name="Times New Roman">
    <w:charset w:val="cc"/>
    <w:family w:val="roman"/>
    <w:pitch w:val="variable"/>
  </w:font>
  <w:font w:name="Liberation Sans">
    <w:altName w:val="Arial"/>
    <w:charset w:val="cc"/>
    <w:family w:val="swiss"/>
    <w:pitch w:val="variable"/>
  </w:font>
  <w:font w:name="Courier New">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67fd8"/>
    <w:pPr>
      <w:widowControl w:val="false"/>
      <w:bidi w:val="0"/>
      <w:spacing w:lineRule="auto" w:line="240" w:before="0" w:after="0"/>
      <w:ind w:firstLine="720"/>
      <w:jc w:val="both"/>
    </w:pPr>
    <w:rPr>
      <w:rFonts w:ascii="Times New Roman CYR" w:hAnsi="Times New Roman CYR" w:eastAsia="" w:cs="Times New Roman CYR" w:eastAsiaTheme="minorEastAsia"/>
      <w:color w:val="auto"/>
      <w:kern w:val="0"/>
      <w:sz w:val="24"/>
      <w:szCs w:val="24"/>
      <w:lang w:eastAsia="ru-RU" w:val="ru-RU" w:bidi="ar-SA"/>
    </w:rPr>
  </w:style>
  <w:style w:type="paragraph" w:styleId="1">
    <w:name w:val="Heading 1"/>
    <w:basedOn w:val="Normal"/>
    <w:next w:val="Normal"/>
    <w:link w:val="10"/>
    <w:uiPriority w:val="99"/>
    <w:qFormat/>
    <w:rsid w:val="00867fd8"/>
    <w:pPr>
      <w:spacing w:before="108" w:after="108"/>
      <w:ind w:hanging="0"/>
      <w:jc w:val="center"/>
      <w:outlineLvl w:val="0"/>
    </w:pPr>
    <w:rPr>
      <w:rFonts w:eastAsia="Times New Roman"/>
      <w:b/>
      <w:bCs/>
      <w:color w:val="26282F"/>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9"/>
    <w:qFormat/>
    <w:rsid w:val="00867fd8"/>
    <w:rPr>
      <w:rFonts w:ascii="Times New Roman CYR" w:hAnsi="Times New Roman CYR" w:eastAsia="Times New Roman" w:cs="Times New Roman CYR"/>
      <w:b/>
      <w:bCs/>
      <w:color w:val="26282F"/>
      <w:sz w:val="24"/>
      <w:szCs w:val="24"/>
      <w:lang w:eastAsia="ru-RU"/>
    </w:rPr>
  </w:style>
  <w:style w:type="character" w:styleId="Style13" w:customStyle="1">
    <w:name w:val="Гипертекстовая ссылка"/>
    <w:basedOn w:val="DefaultParagraphFont"/>
    <w:uiPriority w:val="99"/>
    <w:qFormat/>
    <w:rsid w:val="00867fd8"/>
    <w:rPr>
      <w:rFonts w:ascii="Times New Roman" w:hAnsi="Times New Roman" w:cs="Times New Roman"/>
      <w:color w:val="106BBE"/>
    </w:rPr>
  </w:style>
  <w:style w:type="character" w:styleId="Style14" w:customStyle="1">
    <w:name w:val="Цветовое выделение"/>
    <w:uiPriority w:val="99"/>
    <w:qFormat/>
    <w:rsid w:val="007427fa"/>
    <w:rPr>
      <w:b/>
      <w:color w:val="26282F"/>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Style21" w:customStyle="1">
    <w:name w:val="Комментарий"/>
    <w:basedOn w:val="Normal"/>
    <w:next w:val="Normal"/>
    <w:uiPriority w:val="99"/>
    <w:qFormat/>
    <w:rsid w:val="00867fd8"/>
    <w:pPr>
      <w:spacing w:before="75" w:after="0"/>
      <w:ind w:left="170" w:hanging="0"/>
    </w:pPr>
    <w:rPr>
      <w:color w:val="353842"/>
    </w:rPr>
  </w:style>
  <w:style w:type="paragraph" w:styleId="Style22" w:customStyle="1">
    <w:name w:val="Информация о версии"/>
    <w:basedOn w:val="Style21"/>
    <w:next w:val="Normal"/>
    <w:uiPriority w:val="99"/>
    <w:qFormat/>
    <w:rsid w:val="00867fd8"/>
    <w:pPr/>
    <w:rPr>
      <w:i/>
      <w:iCs/>
    </w:rPr>
  </w:style>
  <w:style w:type="paragraph" w:styleId="Style23" w:customStyle="1">
    <w:name w:val="Нормальный (таблица)"/>
    <w:basedOn w:val="Normal"/>
    <w:next w:val="Normal"/>
    <w:uiPriority w:val="99"/>
    <w:qFormat/>
    <w:rsid w:val="00867fd8"/>
    <w:pPr>
      <w:ind w:hanging="0"/>
    </w:pPr>
    <w:rPr/>
  </w:style>
  <w:style w:type="paragraph" w:styleId="Style24" w:customStyle="1">
    <w:name w:val="Таблицы (моноширинный)"/>
    <w:basedOn w:val="Normal"/>
    <w:next w:val="Normal"/>
    <w:uiPriority w:val="99"/>
    <w:qFormat/>
    <w:rsid w:val="00867fd8"/>
    <w:pPr>
      <w:ind w:hanging="0"/>
      <w:jc w:val="left"/>
    </w:pPr>
    <w:rPr>
      <w:rFonts w:ascii="Courier New" w:hAnsi="Courier New" w:cs="Courier New"/>
    </w:rPr>
  </w:style>
  <w:style w:type="paragraph" w:styleId="Style25" w:customStyle="1">
    <w:name w:val="Прижатый влево"/>
    <w:basedOn w:val="Normal"/>
    <w:next w:val="Normal"/>
    <w:uiPriority w:val="99"/>
    <w:qFormat/>
    <w:rsid w:val="00867fd8"/>
    <w:pPr>
      <w:ind w:hanging="0"/>
      <w:jc w:val="left"/>
    </w:pPr>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internet.garant.ru/document/redirect/71849506/1000" TargetMode="External"/><Relationship Id="rId3" Type="http://schemas.openxmlformats.org/officeDocument/2006/relationships/hyperlink" Target="http://internet.garant.ru/document/redirect/71849506/0" TargetMode="External"/><Relationship Id="rId4" Type="http://schemas.openxmlformats.org/officeDocument/2006/relationships/hyperlink" Target="http://internet.garant.ru/document/redirect/42590460/1000" TargetMode="External"/><Relationship Id="rId5" Type="http://schemas.openxmlformats.org/officeDocument/2006/relationships/hyperlink" Target="http://internet.garant.ru/document/redirect/42590460/0"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Application>LibreOffice/7.0.1.2$Windows_X86_64 LibreOffice_project/7cbcfc562f6eb6708b5ff7d7397325de9e764452</Application>
  <Pages>3</Pages>
  <Words>1016</Words>
  <Characters>8524</Characters>
  <CharactersWithSpaces>9494</CharactersWithSpaces>
  <Paragraphs>47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2020-10-22T10:59:00Z</dcterms:created>
  <dc:creator>EKATERINA</dc:creator>
  <dc:description/>
  <dc:language>ru-RU</dc:language>
  <cp:lastModifiedBy>EKATERINA</cp:lastModifiedBy>
  <dcterms:modified xsi:type="dcterms:W3CDTF">2020-10-23T11:10:00Z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